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60" w:type="dxa"/>
        <w:tblInd w:w="-872" w:type="dxa"/>
        <w:tblLook w:val="01E0"/>
      </w:tblPr>
      <w:tblGrid>
        <w:gridCol w:w="5288"/>
        <w:gridCol w:w="5772"/>
      </w:tblGrid>
      <w:tr w:rsidR="001F2E6C" w:rsidTr="009215E4">
        <w:tc>
          <w:tcPr>
            <w:tcW w:w="5288" w:type="dxa"/>
          </w:tcPr>
          <w:p w:rsidR="001F2E6C" w:rsidRPr="002D7BE5" w:rsidRDefault="001F2E6C" w:rsidP="009215E4">
            <w:pPr>
              <w:jc w:val="center"/>
              <w:rPr>
                <w:b/>
                <w:sz w:val="32"/>
              </w:rPr>
            </w:pPr>
            <w:r w:rsidRPr="002D7BE5">
              <w:rPr>
                <w:b/>
                <w:sz w:val="32"/>
              </w:rPr>
              <w:t>HỘI NÔNG DÂN VIỆT NAM</w:t>
            </w:r>
          </w:p>
          <w:p w:rsidR="001F2E6C" w:rsidRPr="002D7BE5" w:rsidRDefault="001F2E6C" w:rsidP="009215E4">
            <w:pPr>
              <w:jc w:val="center"/>
              <w:rPr>
                <w:b/>
              </w:rPr>
            </w:pPr>
            <w:r w:rsidRPr="002D7BE5">
              <w:rPr>
                <w:b/>
              </w:rPr>
              <w:t>BCH HỘI NÔNG DÂN TỈNH ĐĂK LĂK</w:t>
            </w:r>
          </w:p>
          <w:p w:rsidR="001F2E6C" w:rsidRPr="002D7BE5" w:rsidRDefault="001F2E6C" w:rsidP="009215E4">
            <w:pPr>
              <w:jc w:val="center"/>
              <w:rPr>
                <w:b/>
              </w:rPr>
            </w:pPr>
            <w:r w:rsidRPr="002D7BE5">
              <w:rPr>
                <w:b/>
              </w:rPr>
              <w:t>*</w:t>
            </w:r>
          </w:p>
          <w:p w:rsidR="001F2E6C" w:rsidRDefault="001F2E6C" w:rsidP="009215E4">
            <w:pPr>
              <w:jc w:val="center"/>
            </w:pPr>
            <w:r>
              <w:t xml:space="preserve">Số  </w:t>
            </w:r>
            <w:r w:rsidR="00763E87">
              <w:t>1139</w:t>
            </w:r>
            <w:r>
              <w:t xml:space="preserve">  - CV/HNDT</w:t>
            </w:r>
          </w:p>
          <w:p w:rsidR="001F2E6C" w:rsidRPr="008E1F5F" w:rsidRDefault="001F2E6C" w:rsidP="008444F1">
            <w:pPr>
              <w:jc w:val="both"/>
              <w:rPr>
                <w:i/>
                <w:sz w:val="24"/>
              </w:rPr>
            </w:pPr>
            <w:r w:rsidRPr="00616910">
              <w:rPr>
                <w:i/>
                <w:sz w:val="24"/>
              </w:rPr>
              <w:t xml:space="preserve">V/v </w:t>
            </w:r>
            <w:r w:rsidR="008444F1">
              <w:rPr>
                <w:bCs/>
                <w:i/>
                <w:color w:val="000000"/>
                <w:sz w:val="24"/>
              </w:rPr>
              <w:t>thực hiện Hướng dẫn số 46</w:t>
            </w:r>
            <w:r w:rsidR="00C6552D">
              <w:rPr>
                <w:bCs/>
                <w:i/>
                <w:color w:val="000000"/>
                <w:sz w:val="24"/>
              </w:rPr>
              <w:t>-HD/TG</w:t>
            </w:r>
            <w:r w:rsidR="008444F1">
              <w:rPr>
                <w:bCs/>
                <w:i/>
                <w:color w:val="000000"/>
                <w:sz w:val="24"/>
              </w:rPr>
              <w:t>,</w:t>
            </w:r>
            <w:r w:rsidR="00C6552D">
              <w:rPr>
                <w:bCs/>
                <w:i/>
                <w:color w:val="000000"/>
                <w:sz w:val="24"/>
              </w:rPr>
              <w:t xml:space="preserve"> </w:t>
            </w:r>
            <w:r>
              <w:rPr>
                <w:bCs/>
                <w:i/>
                <w:color w:val="000000"/>
                <w:sz w:val="24"/>
              </w:rPr>
              <w:t>Hướng dẫn số 47</w:t>
            </w:r>
            <w:r w:rsidR="00C6552D">
              <w:rPr>
                <w:bCs/>
                <w:i/>
                <w:color w:val="000000"/>
                <w:sz w:val="24"/>
              </w:rPr>
              <w:t>-HD/TG</w:t>
            </w:r>
            <w:r>
              <w:rPr>
                <w:bCs/>
                <w:i/>
                <w:color w:val="000000"/>
                <w:sz w:val="24"/>
              </w:rPr>
              <w:t xml:space="preserve"> của </w:t>
            </w:r>
            <w:r w:rsidR="008444F1">
              <w:rPr>
                <w:bCs/>
                <w:i/>
                <w:color w:val="000000"/>
                <w:sz w:val="24"/>
              </w:rPr>
              <w:t>Ban Tuyên giáo Tỉnh ủy và Hướng dẫn số 03/HD-BDVTU của Ban Dân vận Tỉnh ủy</w:t>
            </w:r>
            <w:r>
              <w:rPr>
                <w:bCs/>
                <w:i/>
                <w:color w:val="000000"/>
                <w:sz w:val="24"/>
              </w:rPr>
              <w:t xml:space="preserve"> </w:t>
            </w:r>
            <w:r w:rsidR="008444F1">
              <w:rPr>
                <w:bCs/>
                <w:i/>
                <w:color w:val="000000"/>
                <w:sz w:val="24"/>
              </w:rPr>
              <w:t>Đắk Lắk</w:t>
            </w:r>
          </w:p>
        </w:tc>
        <w:tc>
          <w:tcPr>
            <w:tcW w:w="5772" w:type="dxa"/>
          </w:tcPr>
          <w:p w:rsidR="001F2E6C" w:rsidRPr="002D7BE5" w:rsidRDefault="001F2E6C" w:rsidP="009215E4">
            <w:pPr>
              <w:jc w:val="center"/>
              <w:rPr>
                <w:b/>
                <w:sz w:val="26"/>
              </w:rPr>
            </w:pPr>
            <w:r w:rsidRPr="002D7BE5">
              <w:rPr>
                <w:b/>
                <w:sz w:val="26"/>
              </w:rPr>
              <w:t>CỘNG HÒA XÃ HỘI CHỦ NGHĨA VIỆT NAM</w:t>
            </w:r>
          </w:p>
          <w:p w:rsidR="001F2E6C" w:rsidRPr="002D7BE5" w:rsidRDefault="001F2E6C" w:rsidP="009215E4">
            <w:pPr>
              <w:jc w:val="center"/>
              <w:rPr>
                <w:b/>
              </w:rPr>
            </w:pPr>
            <w:r w:rsidRPr="002D7BE5">
              <w:rPr>
                <w:b/>
              </w:rPr>
              <w:t>Độc lập - Tự do - Hạnh phúc</w:t>
            </w:r>
          </w:p>
          <w:p w:rsidR="001F2E6C" w:rsidRPr="002D7BE5" w:rsidRDefault="00E6059F" w:rsidP="009215E4">
            <w:pPr>
              <w:jc w:val="center"/>
              <w:rPr>
                <w:b/>
              </w:rPr>
            </w:pPr>
            <w:r>
              <w:rPr>
                <w:b/>
                <w:noProof/>
              </w:rPr>
              <w:pict>
                <v:line id="_x0000_s1026" style="position:absolute;left:0;text-align:left;z-index:251660288" from="74.05pt,1.9pt" to="207.05pt,1.9pt"/>
              </w:pict>
            </w:r>
          </w:p>
          <w:p w:rsidR="001F2E6C" w:rsidRPr="002D7BE5" w:rsidRDefault="001F2E6C" w:rsidP="009215E4">
            <w:pPr>
              <w:jc w:val="center"/>
              <w:rPr>
                <w:i/>
              </w:rPr>
            </w:pPr>
            <w:r w:rsidRPr="002D7BE5">
              <w:rPr>
                <w:i/>
              </w:rPr>
              <w:t xml:space="preserve">      Buôn Ma Thuột, ngày</w:t>
            </w:r>
            <w:r w:rsidR="00733EBF">
              <w:rPr>
                <w:i/>
              </w:rPr>
              <w:t xml:space="preserve"> </w:t>
            </w:r>
            <w:r w:rsidR="00763E87">
              <w:rPr>
                <w:i/>
              </w:rPr>
              <w:t>11</w:t>
            </w:r>
            <w:r>
              <w:rPr>
                <w:i/>
              </w:rPr>
              <w:t xml:space="preserve"> </w:t>
            </w:r>
            <w:r w:rsidRPr="002D7BE5">
              <w:rPr>
                <w:i/>
              </w:rPr>
              <w:t xml:space="preserve">tháng </w:t>
            </w:r>
            <w:r>
              <w:rPr>
                <w:i/>
              </w:rPr>
              <w:t xml:space="preserve">10 </w:t>
            </w:r>
            <w:r w:rsidRPr="002D7BE5">
              <w:rPr>
                <w:i/>
              </w:rPr>
              <w:t>năm 2017</w:t>
            </w:r>
          </w:p>
          <w:p w:rsidR="001F2E6C" w:rsidRPr="002D7BE5" w:rsidRDefault="001F2E6C" w:rsidP="009215E4">
            <w:pPr>
              <w:jc w:val="center"/>
              <w:rPr>
                <w:b/>
              </w:rPr>
            </w:pPr>
          </w:p>
        </w:tc>
      </w:tr>
    </w:tbl>
    <w:p w:rsidR="001F2E6C" w:rsidRDefault="001F2E6C" w:rsidP="001F2E6C">
      <w:pPr>
        <w:jc w:val="both"/>
      </w:pPr>
    </w:p>
    <w:p w:rsidR="001F2E6C" w:rsidRPr="00920E12" w:rsidRDefault="001F2E6C" w:rsidP="001F2E6C">
      <w:pPr>
        <w:ind w:firstLine="720"/>
        <w:jc w:val="both"/>
        <w:rPr>
          <w:b/>
        </w:rPr>
      </w:pPr>
      <w:r w:rsidRPr="00EB6F81">
        <w:rPr>
          <w:b/>
        </w:rPr>
        <w:t xml:space="preserve">Kính gửi: </w:t>
      </w:r>
      <w:r w:rsidRPr="00920E12">
        <w:rPr>
          <w:b/>
        </w:rPr>
        <w:t>Hội Nông dân các huyện, thị xã Buôn Hồ</w:t>
      </w:r>
      <w:r>
        <w:rPr>
          <w:b/>
        </w:rPr>
        <w:t xml:space="preserve"> </w:t>
      </w:r>
      <w:r w:rsidRPr="00920E12">
        <w:rPr>
          <w:b/>
        </w:rPr>
        <w:t xml:space="preserve">và </w:t>
      </w:r>
      <w:r>
        <w:rPr>
          <w:b/>
          <w:lang w:val="vi-VN"/>
        </w:rPr>
        <w:t>TP</w:t>
      </w:r>
      <w:r w:rsidRPr="00920E12">
        <w:rPr>
          <w:b/>
        </w:rPr>
        <w:t xml:space="preserve"> Buôn Ma Thuột</w:t>
      </w:r>
    </w:p>
    <w:p w:rsidR="001F2E6C" w:rsidRPr="005B7973" w:rsidRDefault="001F2E6C" w:rsidP="001F2E6C">
      <w:pPr>
        <w:jc w:val="both"/>
        <w:rPr>
          <w:b/>
          <w:sz w:val="6"/>
        </w:rPr>
      </w:pPr>
    </w:p>
    <w:p w:rsidR="001F2E6C" w:rsidRDefault="001F2E6C" w:rsidP="001F2E6C">
      <w:pPr>
        <w:shd w:val="clear" w:color="auto" w:fill="FFFFFF"/>
        <w:spacing w:before="120" w:after="120"/>
        <w:ind w:firstLine="720"/>
        <w:jc w:val="both"/>
        <w:textAlignment w:val="baseline"/>
      </w:pPr>
      <w:r>
        <w:t xml:space="preserve">Thực hiện Hướng dẫn số 46 – HD/TG, ngày 18/8/2017 của Ban Tuyên giáo Tỉnh ủy về Hướng dẫn công tác tuyên truyền và tổ chức các đợt sinh hoạt chính trị tư tưởng kỷ niệm 100 năm Cách mạng Tháng </w:t>
      </w:r>
      <w:r w:rsidR="008444F1">
        <w:t>M</w:t>
      </w:r>
      <w:r w:rsidR="003467F0">
        <w:t>ười</w:t>
      </w:r>
      <w:r w:rsidR="008444F1">
        <w:t xml:space="preserve"> Nga (7/11/1917 – 7/11/2017); </w:t>
      </w:r>
      <w:r>
        <w:t>Hướng dẫn số 47 – HD/TG, ngày 30/8/2017 của Ban Tuyên giáo Tỉnh ủy về Hướng dẫn</w:t>
      </w:r>
      <w:r w:rsidR="008444F1">
        <w:t xml:space="preserve"> tuyên tuyền APEC Việt Nam 2017 và Hướng dẫn số 03/HD-BDVTU, ngày 27/9/2017 của Ban Dân vận Tỉnh ủy Đắk Lắk về Tổ chức hoạt động kỷ niệm 87 năm Ngày truyền thống công tác dân vận của Đảng (15/10/1930 – 15/10/2017);</w:t>
      </w:r>
    </w:p>
    <w:p w:rsidR="001F2E6C" w:rsidRDefault="001F2E6C" w:rsidP="001F2E6C">
      <w:pPr>
        <w:shd w:val="clear" w:color="auto" w:fill="FFFFFF"/>
        <w:spacing w:before="120" w:after="120"/>
        <w:ind w:firstLine="720"/>
        <w:jc w:val="both"/>
        <w:textAlignment w:val="baseline"/>
      </w:pPr>
      <w:r>
        <w:t>Ban Thường vụ Hội Nông dân tỉnh yêu cầu Hội Nông dân các huyện, thị xã Buôn Hồ và thành phố Buôn Ma Thuột triển khai thực hiện một số nhiệm vụ như sau:</w:t>
      </w:r>
    </w:p>
    <w:p w:rsidR="001F2E6C" w:rsidRDefault="001F2E6C" w:rsidP="001F2E6C">
      <w:pPr>
        <w:spacing w:before="120" w:after="120"/>
        <w:ind w:firstLine="720"/>
        <w:jc w:val="both"/>
      </w:pPr>
      <w:r>
        <w:t>1. Chỉ đạo các cấp Hội tổ chức các đợt tuyên truyền và sinh hoạt chính trị tư tưởng sâu rộng, làm cho cán bộ, hội viên, nông dân nhận thức sâu sắc về ý nghĩa to lớn của Cách mạng Tháng Mười Nga trong lịch sử nhân loại, qua đó nhằm giáo dục ý thức, bản lĩnh chính trị, lập trường tư tưởng, kiên định mục tiêu độc lập dân tộc gắn liền với chủ nghĩa xã hội; c</w:t>
      </w:r>
      <w:r w:rsidR="003467F0">
        <w:t>ủ</w:t>
      </w:r>
      <w:r>
        <w:t>ng cố lòng tinh vào sự lãnh đạo của Đảng, sự quản lý điều hành của Nhà nước, tạo ra động lực mới trong quá trình thực hiện Nghị quyết Đại hội XII của Đảng, Nghị quyết Đại hội Đảng bộ lần thứ XVI và Nghị quyết Đại hội Đảng bộ các cấp.</w:t>
      </w:r>
    </w:p>
    <w:p w:rsidR="0067054B" w:rsidRDefault="00F93171" w:rsidP="001F2E6C">
      <w:pPr>
        <w:spacing w:before="120" w:after="120"/>
        <w:ind w:firstLine="720"/>
        <w:jc w:val="both"/>
      </w:pPr>
      <w:r>
        <w:t xml:space="preserve">- Tuyên truyền khẳng định tầm vóc, ý nghĩa lịch sử và thời đại của Cách mạng Tháng Mười Nga đối với phong trào cách mạng thế giới và cách mạng Việt Nam; chỉ ra những bài học kinh nghiệm của Cách mạng Tháng Mười Nga; nguyên nhân dẫn đến sự sụp đổ của hệ thống xã hội chủ nghĩa ở Liên Xô và </w:t>
      </w:r>
      <w:r w:rsidR="0067054B">
        <w:t>các nước Đông Âu; bài học đối với sự nghiệp cách mạng và công tác xây dựng Đảng của Việt Nam.</w:t>
      </w:r>
    </w:p>
    <w:p w:rsidR="00DE15AD" w:rsidRDefault="0067054B" w:rsidP="001F2E6C">
      <w:pPr>
        <w:spacing w:before="120" w:after="120"/>
        <w:ind w:firstLine="720"/>
        <w:jc w:val="both"/>
      </w:pPr>
      <w:r>
        <w:t xml:space="preserve">- Làm rõ những thành tựu của chủ nghĩa xã hội hiện thực trong 100 năm qua, nhất là những thành tựu trong quá trình cải cách, đổi mới ở các nước xã hội chủ nghĩa; những đóng góp của các nước xã hội chủ nghĩa cho hòa bình, độc lập dân tộc, dân chủ, văn minh và tiến bộ xã hội; sự hợp tác giữa các nước xã hội chủ nghĩa với các nước trên thế giới </w:t>
      </w:r>
      <w:r w:rsidR="00DE15AD">
        <w:t>trong bối cảnh toàn cầu hóa; khẳng định mặc dù chủ nghĩa xã hội hiện th</w:t>
      </w:r>
      <w:r w:rsidR="003467F0">
        <w:t>ự</w:t>
      </w:r>
      <w:r w:rsidR="00DE15AD">
        <w:t>c vẫn đang đứng trước nhiều khó khăn, thử thách lớn, nh</w:t>
      </w:r>
      <w:r w:rsidR="003467F0">
        <w:t>ư</w:t>
      </w:r>
      <w:r w:rsidR="00DE15AD">
        <w:t>ng con đường được mở ra từ cách mạng Tháng Mười Nga vẫn là một xu thế vận động tất yếu của lịch sử nhân loại.</w:t>
      </w:r>
    </w:p>
    <w:p w:rsidR="00DE15AD" w:rsidRDefault="00DE15AD" w:rsidP="001F2E6C">
      <w:pPr>
        <w:spacing w:before="120" w:after="120"/>
        <w:ind w:firstLine="720"/>
        <w:jc w:val="both"/>
      </w:pPr>
      <w:r>
        <w:t>- Tuyên truyền về những thành tựu to lớn trong công cuộc đổi mới đất nước ta là kết quả của sự vận dụng</w:t>
      </w:r>
      <w:r w:rsidR="00F93171">
        <w:t xml:space="preserve"> </w:t>
      </w:r>
      <w:r>
        <w:t xml:space="preserve">sáng tạo chủ nghĩa Mác – Lênin vào điều kiện cụ thể của </w:t>
      </w:r>
      <w:r>
        <w:lastRenderedPageBreak/>
        <w:t>Việt Nam; Đảng, Nhà nước và nhân dân ta kiên định mục tiêu độc lập dân tộc và chủ nghĩa xã hội.</w:t>
      </w:r>
    </w:p>
    <w:p w:rsidR="00DE15AD" w:rsidRDefault="00DE15AD" w:rsidP="001F2E6C">
      <w:pPr>
        <w:spacing w:before="120" w:after="120"/>
        <w:ind w:firstLine="720"/>
        <w:jc w:val="both"/>
      </w:pPr>
      <w:r>
        <w:t>- Đấu tranh, phản bác các thông tin, quan điểm sai trái, phủ nhận ý nghĩa lịch sử của cách mạng Tháng Mười Nga đi tới xóa bỏ chủ nghĩa Mác – Lênin; đồng thời vạch trần âm mưu, thủ đoạn lợi dụng các vấn đề trong nước, chống phá cách mạng Việt Nam, chia rẽ, gây mất đoàn kết nội bộ, làm suy giảm lòng tin của nhân dân đối với Đảng, Nhà nước.</w:t>
      </w:r>
    </w:p>
    <w:p w:rsidR="00697D95" w:rsidRDefault="00DE15AD" w:rsidP="001F2E6C">
      <w:pPr>
        <w:spacing w:before="120" w:after="120"/>
        <w:ind w:firstLine="720"/>
        <w:jc w:val="both"/>
      </w:pPr>
      <w:r>
        <w:t xml:space="preserve">2. </w:t>
      </w:r>
      <w:r w:rsidR="00697D95">
        <w:t>Tổ chức tuyên truyền sâu rộng trong cán bộ, hội viên, nông dân về Diễn đàn kinh tế Châu Á – Thái Bình Dương (APEC) nói chung và Năm APEC Việt Nam năm 2017 nói riêng, nhằm nâng cao nhận thức cho cán bộ, hội viên, nông dân về vai trò của diễn đàn APEC và vị thế của Việt Nam với tư cách là thành viên APEC; tầm quan trọng của Diễn đàn; qua đó, giúp cho các tổ chức, cá nhân, nhất là các doan</w:t>
      </w:r>
      <w:r w:rsidR="003467F0">
        <w:t>h</w:t>
      </w:r>
      <w:r w:rsidR="00697D95">
        <w:t xml:space="preserve"> nghiệp tìm hiểu cơ hội, mở rộng quan hệ, hợp tác đầu tư và xúc tiến thương mại, góp phần thực hiện thắng lợi chủ trương, đường lối của Đảng, chính sách pháp luật của Nhà nước.</w:t>
      </w:r>
    </w:p>
    <w:p w:rsidR="00697D95" w:rsidRDefault="00697D95" w:rsidP="001F2E6C">
      <w:pPr>
        <w:spacing w:before="120" w:after="120"/>
        <w:ind w:firstLine="720"/>
        <w:jc w:val="both"/>
      </w:pPr>
      <w:r>
        <w:t xml:space="preserve">- </w:t>
      </w:r>
      <w:r w:rsidR="009E5E45">
        <w:t>Phối hợp với các ban, ngành, đoàn thể cùng cấp t</w:t>
      </w:r>
      <w:r>
        <w:t>ổ chức tuyên truyền một số nội dung chủ yếu s</w:t>
      </w:r>
      <w:r w:rsidR="003467F0">
        <w:t>a</w:t>
      </w:r>
      <w:r>
        <w:t>u:</w:t>
      </w:r>
    </w:p>
    <w:p w:rsidR="00B927B9" w:rsidRDefault="00697D95" w:rsidP="001F2E6C">
      <w:pPr>
        <w:spacing w:before="120" w:after="120"/>
        <w:ind w:firstLine="720"/>
        <w:jc w:val="both"/>
      </w:pPr>
      <w:r>
        <w:t>+</w:t>
      </w:r>
      <w:r w:rsidR="00B927B9">
        <w:t xml:space="preserve"> Tuyên truyền</w:t>
      </w:r>
      <w:r>
        <w:t xml:space="preserve"> những thành tựu về hợp tác, liên kết của APEC trong gần 30 năm hình thành và phát triển</w:t>
      </w:r>
      <w:r w:rsidR="00B927B9">
        <w:t>.</w:t>
      </w:r>
    </w:p>
    <w:p w:rsidR="00B927B9" w:rsidRDefault="00B927B9" w:rsidP="001F2E6C">
      <w:pPr>
        <w:spacing w:before="120" w:after="120"/>
        <w:ind w:firstLine="720"/>
        <w:jc w:val="both"/>
      </w:pPr>
      <w:r>
        <w:t xml:space="preserve">+ Việt Nam tham gia APEC: nêu lên vai trò của Việt Nam sau 19 năm gia nhập APEC, những đóng góp cho Diễn đàn,…  </w:t>
      </w:r>
    </w:p>
    <w:p w:rsidR="00B927B9" w:rsidRDefault="00B927B9" w:rsidP="001F2E6C">
      <w:pPr>
        <w:spacing w:before="120" w:after="120"/>
        <w:ind w:firstLine="720"/>
        <w:jc w:val="both"/>
      </w:pPr>
      <w:r>
        <w:t>+ Việt Nam đăng cai APEC 2017 và Tuần lễ Cấp cao APEC 2017:</w:t>
      </w:r>
      <w:r w:rsidRPr="00B927B9">
        <w:t xml:space="preserve"> </w:t>
      </w:r>
      <w:r>
        <w:t>tuyên truyền về ý nghĩa và tầm quan trọng Việt Nam đảm nhận vai trò chủ nhà APEC 2017.</w:t>
      </w:r>
    </w:p>
    <w:p w:rsidR="00B927B9" w:rsidRDefault="00B927B9" w:rsidP="001F2E6C">
      <w:pPr>
        <w:spacing w:before="120" w:after="120"/>
        <w:ind w:firstLine="720"/>
        <w:jc w:val="both"/>
      </w:pPr>
      <w:r>
        <w:t>+ Các chuyến thăm song phương và các hoạt động bên lề Hội nghị: tuyên truyền về các chuyến thăm chính thức Việt Nam của các lãnh đạo cấp cao các nền kinh tế thành viên APEC,…</w:t>
      </w:r>
    </w:p>
    <w:p w:rsidR="00B927B9" w:rsidRDefault="00B927B9" w:rsidP="001F2E6C">
      <w:pPr>
        <w:spacing w:before="120" w:after="120"/>
        <w:ind w:firstLine="720"/>
        <w:jc w:val="both"/>
      </w:pPr>
      <w:r>
        <w:t>+ Đất nước, con người Việt Nam: nêu lên những thành tựu phát triển kinh tế - xã hội của Việt Nam sau 30 năm đổi mới, các chính sách đối ngoại đa phương hóa, đa dạng hóa, hội nhập quốc tế sâu rộng và toàn diện…</w:t>
      </w:r>
    </w:p>
    <w:p w:rsidR="00B927B9" w:rsidRDefault="00B927B9" w:rsidP="001F2E6C">
      <w:pPr>
        <w:spacing w:before="120" w:after="120"/>
        <w:ind w:firstLine="720"/>
        <w:jc w:val="both"/>
      </w:pPr>
      <w:r>
        <w:t>+ Tuyên truyền đấu tranh phản bác các luận điệu sai trái</w:t>
      </w:r>
      <w:r w:rsidR="009E5E45">
        <w:t>, thù địch xuyên t</w:t>
      </w:r>
      <w:r w:rsidR="003467F0">
        <w:t>ạ</w:t>
      </w:r>
      <w:r w:rsidR="009E5E45">
        <w:t>c về tình hình kinh tế - xã hội, đối ngoại, về APEC, xuyên t</w:t>
      </w:r>
      <w:r w:rsidR="003467F0">
        <w:t>ạ</w:t>
      </w:r>
      <w:r w:rsidR="009E5E45">
        <w:t>c quan điểm, đường lối phát triển kinh tế - xã hội, đối ngoại và hội nhập quốc tế c</w:t>
      </w:r>
      <w:r w:rsidR="00D647E2">
        <w:t>ủa</w:t>
      </w:r>
      <w:r w:rsidR="009E5E45">
        <w:t xml:space="preserve"> Đảng, Nhà nước ta.</w:t>
      </w:r>
    </w:p>
    <w:p w:rsidR="00E73FE3" w:rsidRDefault="00A73692" w:rsidP="001F2E6C">
      <w:pPr>
        <w:spacing w:before="120" w:after="120"/>
        <w:ind w:firstLine="720"/>
        <w:jc w:val="both"/>
      </w:pPr>
      <w:r>
        <w:t xml:space="preserve">3. Tăng cường tuyên truyền </w:t>
      </w:r>
      <w:r w:rsidR="00E73FE3">
        <w:t xml:space="preserve">đến cán bộ, hội viên, nông dân </w:t>
      </w:r>
      <w:r>
        <w:t xml:space="preserve">về truyền thống công tác dân vận </w:t>
      </w:r>
      <w:r w:rsidR="006025A6">
        <w:t xml:space="preserve">của Đảng; tư tưởng “Dân vận” </w:t>
      </w:r>
      <w:r w:rsidR="00E73FE3">
        <w:t>của</w:t>
      </w:r>
      <w:r w:rsidR="006025A6">
        <w:t xml:space="preserve"> chủ tịch Hồ Chí Minh</w:t>
      </w:r>
      <w:r w:rsidR="00776091">
        <w:t>; tích cực triển khai có hiệu quả</w:t>
      </w:r>
      <w:r w:rsidR="00E73FE3">
        <w:t xml:space="preserve"> các Nghị quyết, chỉ thị của Đảng về công tác dân vận, Chương trình hành động thực hiện Nghị quyết Đại hội lần thứ XII về công tác dân vận, Quy chế công tác dân vận của hệ thống chính trị, phong trào thi đua “Dân vận khéo”; phấn đấu hoàn thành nhiệm vụ chính trị của địa phương, đơn vị. Nắm tình hình, tập trung giải quyết các vấn đề bức xúc, phức tạp trong cán bộ, hội viên, nông dân.</w:t>
      </w:r>
    </w:p>
    <w:p w:rsidR="008444F1" w:rsidRDefault="00E73FE3" w:rsidP="008444F1">
      <w:pPr>
        <w:spacing w:before="120" w:after="120"/>
        <w:ind w:firstLine="720"/>
        <w:jc w:val="both"/>
      </w:pPr>
      <w:r>
        <w:t>- Tham gia các đợt sinh hoạt chính trị, nghiên cứu, học tập tư tưởng “Dân vận” của Chủ tịch Hồ Chí Minh</w:t>
      </w:r>
      <w:r w:rsidR="008444F1">
        <w:t xml:space="preserve"> do cấp ủy ở địa phương tổ chức</w:t>
      </w:r>
      <w:r>
        <w:t xml:space="preserve">; </w:t>
      </w:r>
      <w:r w:rsidR="008444F1">
        <w:t xml:space="preserve">phổ biến đến cán bộ, hội </w:t>
      </w:r>
      <w:r w:rsidR="008444F1">
        <w:lastRenderedPageBreak/>
        <w:t xml:space="preserve">viên, nông dân </w:t>
      </w:r>
      <w:r>
        <w:t>các quan điểm, nội dung, phương thức tăng cường và đổi mới sự lãnh đạo của Đảng đối với công tác dân vận</w:t>
      </w:r>
      <w:r w:rsidR="008444F1">
        <w:t xml:space="preserve"> trong tình hình mới theo Nghị quyết Đại hội Đảng toàn quốc lần thứ XII; tham gia trao đổi, rút kinh nghiệm, tuyên truyền về những mô hình tốt, cách làm hay trong công tác dân vận ở địa phương.  </w:t>
      </w:r>
      <w:r>
        <w:t xml:space="preserve">  </w:t>
      </w:r>
    </w:p>
    <w:p w:rsidR="001F2E6C" w:rsidRPr="008444F1" w:rsidRDefault="001F2E6C" w:rsidP="008444F1">
      <w:pPr>
        <w:spacing w:before="120" w:after="120"/>
        <w:ind w:firstLine="720"/>
        <w:jc w:val="both"/>
      </w:pPr>
      <w:r w:rsidRPr="00D3697C">
        <w:rPr>
          <w:szCs w:val="28"/>
        </w:rPr>
        <w:t>Nhận được công văn này yêu cầu Hội Nông dân các huyện, thị xã Buôn Hồ và thành phố Buôn Ma Thuột triển khai</w:t>
      </w:r>
      <w:r w:rsidR="008444F1">
        <w:rPr>
          <w:szCs w:val="28"/>
        </w:rPr>
        <w:t xml:space="preserve"> tổ chức</w:t>
      </w:r>
      <w:r w:rsidR="00C6552D">
        <w:rPr>
          <w:szCs w:val="28"/>
        </w:rPr>
        <w:t xml:space="preserve"> tuyên truyền các nội dung theo công văn này (</w:t>
      </w:r>
      <w:r w:rsidR="00C6552D" w:rsidRPr="00C6552D">
        <w:rPr>
          <w:i/>
          <w:szCs w:val="28"/>
        </w:rPr>
        <w:t>có photo kèm đề cương tuyên truyền</w:t>
      </w:r>
      <w:r w:rsidR="00C6552D">
        <w:rPr>
          <w:szCs w:val="28"/>
        </w:rPr>
        <w:t xml:space="preserve">) </w:t>
      </w:r>
      <w:r w:rsidRPr="00D3697C">
        <w:rPr>
          <w:szCs w:val="28"/>
        </w:rPr>
        <w:t xml:space="preserve">và </w:t>
      </w:r>
      <w:r w:rsidR="00C6552D">
        <w:rPr>
          <w:szCs w:val="28"/>
        </w:rPr>
        <w:t xml:space="preserve">cuối năm </w:t>
      </w:r>
      <w:r w:rsidRPr="00D3697C">
        <w:rPr>
          <w:szCs w:val="28"/>
        </w:rPr>
        <w:t>báo cáo kết quả về Ban Thường vụ Hội Nông dân tỉnh (qua Ban Tuyên huấn) để tổng hợp báo cáo./.</w:t>
      </w:r>
    </w:p>
    <w:p w:rsidR="001F2E6C" w:rsidRDefault="001F2E6C" w:rsidP="001F2E6C">
      <w:pPr>
        <w:jc w:val="both"/>
      </w:pPr>
      <w:r w:rsidRPr="00204BBA">
        <w:rPr>
          <w:u w:val="single"/>
        </w:rPr>
        <w:t>Nơi nhận</w:t>
      </w:r>
      <w:r w:rsidRPr="00062406">
        <w:rPr>
          <w:b/>
        </w:rPr>
        <w:t xml:space="preserve">:                                       </w:t>
      </w:r>
      <w:r>
        <w:rPr>
          <w:b/>
        </w:rPr>
        <w:t xml:space="preserve">                                 </w:t>
      </w:r>
      <w:r w:rsidRPr="00062406">
        <w:rPr>
          <w:b/>
        </w:rPr>
        <w:t>T/M BAN THƯỜNG VỤ</w:t>
      </w:r>
    </w:p>
    <w:p w:rsidR="001F2E6C" w:rsidRDefault="001F2E6C" w:rsidP="001F2E6C">
      <w:pPr>
        <w:jc w:val="both"/>
        <w:rPr>
          <w:b/>
          <w:sz w:val="24"/>
        </w:rPr>
      </w:pPr>
      <w:r w:rsidRPr="00FD776F">
        <w:rPr>
          <w:sz w:val="24"/>
        </w:rPr>
        <w:t>- Như kính gửi;</w:t>
      </w:r>
      <w:r>
        <w:rPr>
          <w:sz w:val="24"/>
        </w:rPr>
        <w:tab/>
      </w:r>
      <w:r>
        <w:rPr>
          <w:sz w:val="24"/>
        </w:rPr>
        <w:tab/>
      </w:r>
      <w:r>
        <w:rPr>
          <w:sz w:val="24"/>
        </w:rPr>
        <w:tab/>
      </w:r>
      <w:r>
        <w:rPr>
          <w:sz w:val="24"/>
        </w:rPr>
        <w:tab/>
      </w:r>
      <w:r>
        <w:rPr>
          <w:sz w:val="24"/>
        </w:rPr>
        <w:tab/>
      </w:r>
      <w:r>
        <w:rPr>
          <w:sz w:val="24"/>
        </w:rPr>
        <w:tab/>
      </w:r>
      <w:r>
        <w:rPr>
          <w:sz w:val="24"/>
        </w:rPr>
        <w:tab/>
        <w:t xml:space="preserve">      </w:t>
      </w:r>
      <w:r w:rsidR="00763E87">
        <w:rPr>
          <w:sz w:val="24"/>
        </w:rPr>
        <w:t xml:space="preserve">    </w:t>
      </w:r>
      <w:r>
        <w:rPr>
          <w:sz w:val="24"/>
        </w:rPr>
        <w:t xml:space="preserve">   </w:t>
      </w:r>
      <w:r w:rsidR="00763E87">
        <w:rPr>
          <w:sz w:val="24"/>
        </w:rPr>
        <w:t>PHÓ CHỦ TỊCH</w:t>
      </w:r>
    </w:p>
    <w:p w:rsidR="001F2E6C" w:rsidRPr="00FD776F" w:rsidRDefault="001F2E6C" w:rsidP="001F2E6C">
      <w:pPr>
        <w:jc w:val="both"/>
        <w:rPr>
          <w:b/>
          <w:sz w:val="24"/>
        </w:rPr>
      </w:pPr>
      <w:r w:rsidRPr="00FD776F">
        <w:rPr>
          <w:sz w:val="24"/>
        </w:rPr>
        <w:t>- TT HND tỉnh;</w:t>
      </w:r>
    </w:p>
    <w:p w:rsidR="001F2E6C" w:rsidRDefault="001F2E6C" w:rsidP="001F2E6C">
      <w:pPr>
        <w:jc w:val="both"/>
        <w:rPr>
          <w:sz w:val="24"/>
        </w:rPr>
      </w:pPr>
      <w:r w:rsidRPr="00FD776F">
        <w:rPr>
          <w:sz w:val="24"/>
        </w:rPr>
        <w:t>- Lưu VT,TH</w:t>
      </w:r>
      <w:r>
        <w:rPr>
          <w:sz w:val="24"/>
        </w:rPr>
        <w:t>.</w:t>
      </w:r>
      <w:r>
        <w:rPr>
          <w:sz w:val="24"/>
        </w:rPr>
        <w:tab/>
      </w:r>
      <w:r>
        <w:rPr>
          <w:sz w:val="24"/>
        </w:rPr>
        <w:tab/>
      </w:r>
      <w:r>
        <w:rPr>
          <w:sz w:val="24"/>
        </w:rPr>
        <w:tab/>
      </w:r>
      <w:r>
        <w:rPr>
          <w:sz w:val="24"/>
        </w:rPr>
        <w:tab/>
      </w:r>
      <w:r w:rsidR="00763E87">
        <w:rPr>
          <w:sz w:val="24"/>
        </w:rPr>
        <w:tab/>
      </w:r>
      <w:r w:rsidR="00763E87">
        <w:rPr>
          <w:sz w:val="24"/>
        </w:rPr>
        <w:tab/>
      </w:r>
      <w:r w:rsidR="00763E87">
        <w:rPr>
          <w:sz w:val="24"/>
        </w:rPr>
        <w:tab/>
      </w:r>
      <w:r w:rsidR="00763E87">
        <w:rPr>
          <w:sz w:val="24"/>
        </w:rPr>
        <w:tab/>
      </w:r>
      <w:r w:rsidR="00763E87">
        <w:rPr>
          <w:sz w:val="24"/>
        </w:rPr>
        <w:tab/>
        <w:t xml:space="preserve">         (Đã ký)</w:t>
      </w:r>
    </w:p>
    <w:p w:rsidR="00763E87" w:rsidRDefault="00763E87" w:rsidP="001F2E6C">
      <w:pPr>
        <w:jc w:val="both"/>
        <w:rPr>
          <w:sz w:val="24"/>
        </w:rPr>
      </w:pPr>
    </w:p>
    <w:p w:rsidR="00763E87" w:rsidRPr="00763E87" w:rsidRDefault="00763E87" w:rsidP="00763E87">
      <w:pPr>
        <w:ind w:left="6480" w:firstLine="720"/>
        <w:jc w:val="both"/>
        <w:rPr>
          <w:b/>
          <w:sz w:val="24"/>
        </w:rPr>
      </w:pPr>
      <w:r w:rsidRPr="00763E87">
        <w:rPr>
          <w:b/>
          <w:sz w:val="24"/>
        </w:rPr>
        <w:t>Nguyễn Văn Xuân</w:t>
      </w:r>
    </w:p>
    <w:p w:rsidR="0032008F" w:rsidRDefault="0032008F"/>
    <w:sectPr w:rsidR="0032008F" w:rsidSect="00695A39">
      <w:pgSz w:w="11909" w:h="16834" w:code="9"/>
      <w:pgMar w:top="1260" w:right="749"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1F2E6C"/>
    <w:rsid w:val="000E2307"/>
    <w:rsid w:val="001F2E6C"/>
    <w:rsid w:val="0032008F"/>
    <w:rsid w:val="003467F0"/>
    <w:rsid w:val="004B4157"/>
    <w:rsid w:val="005B073E"/>
    <w:rsid w:val="006025A6"/>
    <w:rsid w:val="0067054B"/>
    <w:rsid w:val="00697D95"/>
    <w:rsid w:val="00733EBF"/>
    <w:rsid w:val="00763E87"/>
    <w:rsid w:val="00776091"/>
    <w:rsid w:val="008444F1"/>
    <w:rsid w:val="009E5E45"/>
    <w:rsid w:val="00A73692"/>
    <w:rsid w:val="00B927B9"/>
    <w:rsid w:val="00BC676E"/>
    <w:rsid w:val="00C6552D"/>
    <w:rsid w:val="00D31F34"/>
    <w:rsid w:val="00D647E2"/>
    <w:rsid w:val="00DA4150"/>
    <w:rsid w:val="00DE15AD"/>
    <w:rsid w:val="00E6059F"/>
    <w:rsid w:val="00E73FE3"/>
    <w:rsid w:val="00F931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Chun">
    <w:name w:val="Normal"/>
    <w:qFormat/>
    <w:rsid w:val="001F2E6C"/>
    <w:pPr>
      <w:spacing w:after="0" w:line="240" w:lineRule="auto"/>
    </w:pPr>
    <w:rPr>
      <w:rFonts w:eastAsia="Times New Roman" w:cs="Times New Roman"/>
      <w:szCs w:val="24"/>
    </w:rPr>
  </w:style>
  <w:style w:type="character" w:default="1" w:styleId="Phngmcnhcaonvn">
    <w:name w:val="Default Paragraph Font"/>
    <w:uiPriority w:val="1"/>
    <w:semiHidden/>
    <w:unhideWhenUsed/>
  </w:style>
  <w:style w:type="table" w:default="1" w:styleId="BngChun">
    <w:name w:val="Normal Table"/>
    <w:uiPriority w:val="99"/>
    <w:semiHidden/>
    <w:unhideWhenUsed/>
    <w:qFormat/>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ChunWeb">
    <w:name w:val="Normal (Web)"/>
    <w:basedOn w:val="Chun"/>
    <w:uiPriority w:val="99"/>
    <w:unhideWhenUsed/>
    <w:rsid w:val="001F2E6C"/>
    <w:pPr>
      <w:spacing w:before="100" w:beforeAutospacing="1" w:after="100" w:afterAutospacing="1"/>
    </w:pPr>
    <w:rPr>
      <w:sz w:val="24"/>
    </w:rPr>
  </w:style>
  <w:style w:type="paragraph" w:styleId="oncaDanhsch">
    <w:name w:val="List Paragraph"/>
    <w:basedOn w:val="Chun"/>
    <w:uiPriority w:val="34"/>
    <w:qFormat/>
    <w:rsid w:val="001F2E6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962</Words>
  <Characters>5489</Characters>
  <Application>Microsoft Office Word</Application>
  <DocSecurity>0</DocSecurity>
  <Lines>45</Lines>
  <Paragraphs>12</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13</cp:revision>
  <dcterms:created xsi:type="dcterms:W3CDTF">2017-10-09T00:52:00Z</dcterms:created>
  <dcterms:modified xsi:type="dcterms:W3CDTF">2017-10-23T03:06:00Z</dcterms:modified>
</cp:coreProperties>
</file>